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hAnsi="Times New Roman" w:eastAsia="方正小标宋简体"/>
          <w:kern w:val="0"/>
          <w:sz w:val="36"/>
          <w:szCs w:val="36"/>
        </w:rPr>
      </w:pPr>
      <w:bookmarkStart w:id="0" w:name="_GoBack"/>
      <w:r>
        <w:rPr>
          <w:rFonts w:hint="eastAsia" w:ascii="方正小标宋简体" w:hAnsi="Times New Roman" w:eastAsia="方正小标宋简体"/>
          <w:spacing w:val="90"/>
          <w:kern w:val="0"/>
          <w:sz w:val="36"/>
          <w:szCs w:val="36"/>
          <w:fitText w:val="3600" w:id="38422646"/>
        </w:rPr>
        <w:t>流行病学调查</w:t>
      </w:r>
      <w:r>
        <w:rPr>
          <w:rFonts w:hint="eastAsia" w:ascii="方正小标宋简体" w:hAnsi="Times New Roman" w:eastAsia="方正小标宋简体"/>
          <w:spacing w:val="0"/>
          <w:kern w:val="0"/>
          <w:sz w:val="36"/>
          <w:szCs w:val="36"/>
          <w:fitText w:val="3600" w:id="38422646"/>
        </w:rPr>
        <w:t>表</w:t>
      </w:r>
      <w:bookmarkEnd w:id="0"/>
    </w:p>
    <w:tbl>
      <w:tblPr>
        <w:tblStyle w:val="2"/>
        <w:tblpPr w:leftFromText="181" w:rightFromText="181" w:vertAnchor="page" w:horzAnchor="page" w:tblpXSpec="center" w:tblpY="2799"/>
        <w:tblOverlap w:val="never"/>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189"/>
        <w:gridCol w:w="1418"/>
        <w:gridCol w:w="631"/>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noWrap/>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6189" w:type="dxa"/>
            <w:tcBorders>
              <w:bottom w:val="single" w:color="auto" w:sz="4" w:space="0"/>
            </w:tcBorders>
            <w:noWrap/>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类别</w:t>
            </w:r>
          </w:p>
        </w:tc>
        <w:tc>
          <w:tcPr>
            <w:tcW w:w="1418" w:type="dxa"/>
            <w:tcBorders>
              <w:bottom w:val="single" w:color="auto" w:sz="4" w:space="0"/>
            </w:tcBorders>
            <w:noWrap w:val="0"/>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否</w:t>
            </w:r>
          </w:p>
        </w:tc>
        <w:tc>
          <w:tcPr>
            <w:tcW w:w="1264" w:type="dxa"/>
            <w:gridSpan w:val="2"/>
            <w:tcBorders>
              <w:bottom w:val="single" w:color="auto" w:sz="4" w:space="0"/>
            </w:tcBorders>
            <w:noWrap/>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w:t>
            </w:r>
          </w:p>
        </w:tc>
        <w:tc>
          <w:tcPr>
            <w:tcW w:w="6189" w:type="dxa"/>
            <w:tcBorders>
              <w:bottom w:val="dashSmallGap"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28天内有无港台地区、境外旅行史和居住史</w:t>
            </w:r>
            <w:r>
              <w:rPr>
                <w:rFonts w:hint="eastAsia" w:ascii="仿宋" w:hAnsi="仿宋" w:eastAsia="仿宋"/>
                <w:sz w:val="24"/>
                <w:szCs w:val="24"/>
              </w:rPr>
              <w:t>：</w:t>
            </w:r>
          </w:p>
        </w:tc>
        <w:tc>
          <w:tcPr>
            <w:tcW w:w="1418" w:type="dxa"/>
            <w:tcBorders>
              <w:bottom w:val="dashed" w:color="auto" w:sz="4" w:space="0"/>
            </w:tcBorders>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bottom w:val="dashed"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noWrap/>
            <w:vAlign w:val="center"/>
          </w:tcPr>
          <w:p>
            <w:pPr>
              <w:widowControl/>
              <w:spacing w:line="300" w:lineRule="exact"/>
              <w:jc w:val="center"/>
              <w:rPr>
                <w:rFonts w:ascii="仿宋" w:hAnsi="仿宋" w:eastAsia="仿宋"/>
                <w:b/>
                <w:sz w:val="24"/>
                <w:szCs w:val="24"/>
              </w:rPr>
            </w:pPr>
          </w:p>
        </w:tc>
        <w:tc>
          <w:tcPr>
            <w:tcW w:w="8871" w:type="dxa"/>
            <w:gridSpan w:val="4"/>
            <w:tcBorders>
              <w:top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若有,您属于:隔离满</w:t>
            </w:r>
            <w:r>
              <w:rPr>
                <w:rFonts w:ascii="仿宋" w:hAnsi="仿宋" w:eastAsia="仿宋"/>
                <w:sz w:val="24"/>
                <w:szCs w:val="24"/>
              </w:rPr>
              <w:t>21天未满28天（）；隔离满14天未满21天（）；隔离未满14天（）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2</w:t>
            </w:r>
          </w:p>
        </w:tc>
        <w:tc>
          <w:tcPr>
            <w:tcW w:w="6189" w:type="dxa"/>
            <w:tcBorders>
              <w:top w:val="dashed" w:color="auto" w:sz="4" w:space="0"/>
              <w:bottom w:val="dashSmallGap"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14天有无澳门地区旅居史：</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noWrap/>
            <w:vAlign w:val="center"/>
          </w:tcPr>
          <w:p>
            <w:pPr>
              <w:widowControl/>
              <w:spacing w:line="300" w:lineRule="exact"/>
              <w:jc w:val="center"/>
              <w:rPr>
                <w:rFonts w:ascii="仿宋" w:hAnsi="仿宋" w:eastAsia="仿宋"/>
                <w:b/>
                <w:sz w:val="24"/>
                <w:szCs w:val="24"/>
              </w:rPr>
            </w:pPr>
          </w:p>
        </w:tc>
        <w:tc>
          <w:tcPr>
            <w:tcW w:w="8871" w:type="dxa"/>
            <w:gridSpan w:val="4"/>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若有,您是否具有有效期内入境核酸阴性证明（）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3</w:t>
            </w:r>
          </w:p>
        </w:tc>
        <w:tc>
          <w:tcPr>
            <w:tcW w:w="6189" w:type="dxa"/>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14天有境内中高风险地区旅居史，有无接触境内中高风险地区旅居史的人员</w:t>
            </w:r>
            <w:r>
              <w:rPr>
                <w:rFonts w:hint="eastAsia" w:ascii="仿宋" w:hAnsi="仿宋" w:eastAsia="仿宋"/>
                <w:sz w:val="24"/>
                <w:szCs w:val="24"/>
              </w:rPr>
              <w:t>：</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4</w:t>
            </w:r>
          </w:p>
        </w:tc>
        <w:tc>
          <w:tcPr>
            <w:tcW w:w="6189" w:type="dxa"/>
            <w:noWrap/>
            <w:vAlign w:val="center"/>
          </w:tcPr>
          <w:p>
            <w:pPr>
              <w:widowControl/>
              <w:spacing w:line="300" w:lineRule="exact"/>
              <w:rPr>
                <w:rFonts w:ascii="仿宋" w:hAnsi="仿宋" w:eastAsia="仿宋"/>
                <w:sz w:val="24"/>
                <w:szCs w:val="24"/>
              </w:rPr>
            </w:pPr>
            <w:r>
              <w:rPr>
                <w:rFonts w:ascii="仿宋" w:hAnsi="仿宋" w:eastAsia="仿宋"/>
                <w:sz w:val="24"/>
                <w:szCs w:val="24"/>
              </w:rPr>
              <w:t>追溯日期内有</w:t>
            </w:r>
            <w:r>
              <w:rPr>
                <w:rFonts w:hint="eastAsia" w:ascii="仿宋" w:hAnsi="仿宋" w:eastAsia="仿宋"/>
                <w:sz w:val="24"/>
                <w:szCs w:val="24"/>
              </w:rPr>
              <w:t>无</w:t>
            </w:r>
            <w:r>
              <w:rPr>
                <w:rFonts w:ascii="仿宋" w:hAnsi="仿宋" w:eastAsia="仿宋"/>
                <w:sz w:val="24"/>
                <w:szCs w:val="24"/>
              </w:rPr>
              <w:t>天津市防控指挥部确定的重点涉疫地区旅居史</w:t>
            </w:r>
            <w:r>
              <w:rPr>
                <w:rFonts w:hint="eastAsia" w:ascii="仿宋" w:hAnsi="仿宋" w:eastAsia="仿宋"/>
                <w:sz w:val="24"/>
                <w:szCs w:val="24"/>
              </w:rPr>
              <w:t>或</w:t>
            </w:r>
            <w:r>
              <w:rPr>
                <w:rFonts w:ascii="仿宋" w:hAnsi="仿宋" w:eastAsia="仿宋"/>
                <w:sz w:val="24"/>
                <w:szCs w:val="24"/>
              </w:rPr>
              <w:t>感染者关联轨迹的人员</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5</w:t>
            </w:r>
          </w:p>
        </w:tc>
        <w:tc>
          <w:tcPr>
            <w:tcW w:w="6189" w:type="dxa"/>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14天内是否为被判定为新型冠状病毒感染者（确诊病例及无症状感染者）/疑似病例及其密切接触者或密切接触者的密切接触者：</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6</w:t>
            </w:r>
          </w:p>
        </w:tc>
        <w:tc>
          <w:tcPr>
            <w:tcW w:w="6189" w:type="dxa"/>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是否为处于</w:t>
            </w:r>
            <w:r>
              <w:rPr>
                <w:rFonts w:ascii="仿宋" w:hAnsi="仿宋" w:eastAsia="仿宋"/>
                <w:sz w:val="24"/>
                <w:szCs w:val="24"/>
              </w:rPr>
              <w:t>7天居家医学观察的密切接触者：</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7</w:t>
            </w:r>
          </w:p>
        </w:tc>
        <w:tc>
          <w:tcPr>
            <w:tcW w:w="6189" w:type="dxa"/>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是否为已治愈出院的新冠肺炎确诊病例或已解除集中隔离医学观察的无症状感染者，尚在随访及医学观察期内：</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8</w:t>
            </w:r>
          </w:p>
        </w:tc>
        <w:tc>
          <w:tcPr>
            <w:tcW w:w="6189" w:type="dxa"/>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14天内是否出现过发热（体温≥37.3℃），且伴有呼吸道如咳嗽、咽痛、新发咽干、咽痒等症状者：</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9</w:t>
            </w:r>
          </w:p>
        </w:tc>
        <w:tc>
          <w:tcPr>
            <w:tcW w:w="6189" w:type="dxa"/>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健康码是否为橙码或红码：</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631" w:type="dxa"/>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橙□</w:t>
            </w:r>
          </w:p>
        </w:tc>
        <w:tc>
          <w:tcPr>
            <w:tcW w:w="633"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0" w:type="dxa"/>
            <w:vMerge w:val="restart"/>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10</w:t>
            </w:r>
          </w:p>
        </w:tc>
        <w:tc>
          <w:tcPr>
            <w:tcW w:w="6189" w:type="dxa"/>
            <w:tcBorders>
              <w:bottom w:val="dashSmallGap"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通信大数据行程卡是否为“非绿卡”或显示“</w:t>
            </w:r>
            <w:r>
              <w:rPr>
                <w:rFonts w:ascii="仿宋" w:hAnsi="仿宋" w:eastAsia="仿宋"/>
                <w:sz w:val="24"/>
                <w:szCs w:val="24"/>
              </w:rPr>
              <w:t>*”</w:t>
            </w:r>
            <w:r>
              <w:rPr>
                <w:rFonts w:hint="eastAsia" w:ascii="仿宋" w:hAnsi="仿宋" w:eastAsia="仿宋"/>
                <w:sz w:val="24"/>
                <w:szCs w:val="24"/>
              </w:rPr>
              <w:t>或显示“天津市以外地区”</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noWrap/>
            <w:vAlign w:val="center"/>
          </w:tcPr>
          <w:p>
            <w:pPr>
              <w:widowControl/>
              <w:spacing w:line="300" w:lineRule="exact"/>
              <w:jc w:val="center"/>
              <w:rPr>
                <w:rFonts w:ascii="仿宋" w:hAnsi="仿宋" w:eastAsia="仿宋"/>
                <w:b/>
                <w:sz w:val="24"/>
                <w:szCs w:val="24"/>
              </w:rPr>
            </w:pPr>
          </w:p>
        </w:tc>
        <w:tc>
          <w:tcPr>
            <w:tcW w:w="8871" w:type="dxa"/>
            <w:gridSpan w:val="4"/>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如果是：显示的是</w:t>
            </w:r>
            <w:r>
              <w:rPr>
                <w:rFonts w:ascii="仿宋" w:hAnsi="仿宋" w:eastAsia="仿宋"/>
                <w:sz w:val="24"/>
                <w:szCs w:val="24"/>
              </w:rPr>
              <w:t>非绿卡（ ）</w:t>
            </w:r>
            <w:r>
              <w:rPr>
                <w:rFonts w:hint="eastAsia" w:ascii="仿宋" w:hAnsi="仿宋" w:eastAsia="仿宋"/>
                <w:sz w:val="24"/>
                <w:szCs w:val="24"/>
              </w:rPr>
              <w:t>；</w:t>
            </w:r>
            <w:r>
              <w:rPr>
                <w:rFonts w:ascii="仿宋" w:hAnsi="仿宋" w:eastAsia="仿宋"/>
                <w:sz w:val="24"/>
                <w:szCs w:val="24"/>
              </w:rPr>
              <w:t>“*”（ ）</w:t>
            </w:r>
            <w:r>
              <w:rPr>
                <w:rFonts w:hint="eastAsia" w:ascii="仿宋" w:hAnsi="仿宋" w:eastAsia="仿宋"/>
                <w:sz w:val="24"/>
                <w:szCs w:val="24"/>
              </w:rPr>
              <w:t>；“天津市以外地区”（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noWrap/>
            <w:vAlign w:val="center"/>
          </w:tcPr>
          <w:p>
            <w:pPr>
              <w:widowControl/>
              <w:spacing w:line="300" w:lineRule="exact"/>
              <w:jc w:val="center"/>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1</w:t>
            </w:r>
          </w:p>
        </w:tc>
        <w:tc>
          <w:tcPr>
            <w:tcW w:w="6189" w:type="dxa"/>
            <w:tcBorders>
              <w:bottom w:val="dashSmallGap"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是否已全程接种新冠病毒疫苗：</w:t>
            </w:r>
          </w:p>
        </w:tc>
        <w:tc>
          <w:tcPr>
            <w:tcW w:w="1418" w:type="dxa"/>
            <w:noWrap w:val="0"/>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已接种□</w:t>
            </w:r>
          </w:p>
        </w:tc>
        <w:tc>
          <w:tcPr>
            <w:tcW w:w="1264" w:type="dxa"/>
            <w:gridSpan w:val="2"/>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未接种□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noWrap/>
            <w:vAlign w:val="center"/>
          </w:tcPr>
          <w:p>
            <w:pPr>
              <w:widowControl/>
              <w:spacing w:line="300" w:lineRule="exact"/>
              <w:jc w:val="center"/>
              <w:rPr>
                <w:rFonts w:ascii="仿宋" w:hAnsi="仿宋" w:eastAsia="仿宋"/>
                <w:sz w:val="24"/>
                <w:szCs w:val="24"/>
              </w:rPr>
            </w:pPr>
          </w:p>
        </w:tc>
        <w:tc>
          <w:tcPr>
            <w:tcW w:w="8871" w:type="dxa"/>
            <w:gridSpan w:val="4"/>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如果未完成疫苗接种，原因：</w:t>
            </w:r>
          </w:p>
        </w:tc>
      </w:tr>
    </w:tbl>
    <w:p>
      <w:pPr>
        <w:spacing w:line="440" w:lineRule="exact"/>
        <w:jc w:val="left"/>
        <w:rPr>
          <w:rFonts w:hint="eastAsia" w:ascii="仿宋" w:hAnsi="仿宋" w:eastAsia="仿宋"/>
          <w:sz w:val="28"/>
          <w:szCs w:val="28"/>
        </w:rPr>
      </w:pPr>
      <w:r>
        <w:rPr>
          <w:rFonts w:hint="eastAsia" w:ascii="仿宋" w:hAnsi="仿宋" w:eastAsia="仿宋"/>
          <w:sz w:val="28"/>
          <w:szCs w:val="28"/>
        </w:rPr>
        <w:t>姓名：         性别：   年龄：   单位：</w:t>
      </w:r>
    </w:p>
    <w:p>
      <w:pPr>
        <w:spacing w:line="440" w:lineRule="exact"/>
        <w:jc w:val="left"/>
        <w:rPr>
          <w:rFonts w:hint="eastAsia" w:ascii="仿宋" w:hAnsi="仿宋" w:eastAsia="仿宋"/>
          <w:sz w:val="28"/>
          <w:szCs w:val="28"/>
        </w:rPr>
      </w:pPr>
    </w:p>
    <w:p>
      <w:pPr>
        <w:spacing w:line="440" w:lineRule="exact"/>
        <w:jc w:val="left"/>
        <w:rPr>
          <w:rFonts w:hint="eastAsia" w:ascii="仿宋" w:hAnsi="仿宋" w:eastAsia="仿宋"/>
          <w:sz w:val="28"/>
          <w:szCs w:val="28"/>
        </w:rPr>
      </w:pPr>
    </w:p>
    <w:p>
      <w:pPr>
        <w:spacing w:line="440" w:lineRule="exact"/>
        <w:jc w:val="left"/>
        <w:rPr>
          <w:rFonts w:hint="eastAsia" w:ascii="Times New Roman"/>
          <w:b/>
          <w:bCs/>
          <w:sz w:val="28"/>
          <w:szCs w:val="28"/>
        </w:rPr>
      </w:pPr>
      <w:r>
        <w:rPr>
          <w:rFonts w:hint="eastAsia" w:ascii="Times New Roman"/>
          <w:b/>
          <w:bCs/>
          <w:sz w:val="28"/>
          <w:szCs w:val="28"/>
        </w:rPr>
        <w:t>本人确认以上情况属实。签字：</w:t>
      </w:r>
    </w:p>
    <w:p>
      <w:pPr>
        <w:spacing w:line="440" w:lineRule="exact"/>
        <w:jc w:val="left"/>
        <w:rPr>
          <w:rFonts w:hint="eastAsia" w:ascii="Times New Roman"/>
          <w:b/>
          <w:bCs/>
          <w:sz w:val="28"/>
          <w:szCs w:val="28"/>
        </w:rPr>
      </w:pPr>
    </w:p>
    <w:p>
      <w:pPr>
        <w:adjustRightInd w:val="0"/>
        <w:snapToGrid w:val="0"/>
        <w:spacing w:line="440" w:lineRule="exact"/>
        <w:rPr>
          <w:rFonts w:ascii="楷体" w:hAnsi="楷体" w:eastAsia="楷体" w:cs="方正仿宋_GBK"/>
          <w:sz w:val="32"/>
          <w:szCs w:val="32"/>
        </w:rPr>
      </w:pPr>
      <w:r>
        <w:rPr>
          <w:rFonts w:hint="eastAsia" w:ascii="黑体" w:hAnsi="黑体" w:eastAsia="黑体"/>
          <w:sz w:val="32"/>
          <w:szCs w:val="32"/>
        </w:rPr>
        <w:t>注：</w:t>
      </w:r>
      <w:r>
        <w:rPr>
          <w:rFonts w:ascii="楷体" w:hAnsi="楷体" w:eastAsia="楷体" w:cs="方正仿宋_GBK"/>
          <w:sz w:val="32"/>
          <w:szCs w:val="32"/>
        </w:rPr>
        <w:t>天津市防控指挥部确定的重点涉疫地区和追溯时间根据</w:t>
      </w:r>
    </w:p>
    <w:p>
      <w:pPr>
        <w:adjustRightInd w:val="0"/>
        <w:snapToGrid w:val="0"/>
        <w:spacing w:line="560" w:lineRule="exact"/>
        <w:ind w:left="-404" w:leftChars="-200" w:hanging="16" w:hangingChars="5"/>
        <w:rPr>
          <w:rFonts w:ascii="楷体" w:hAnsi="楷体" w:eastAsia="楷体" w:cs="方正仿宋_GBK"/>
          <w:sz w:val="32"/>
          <w:szCs w:val="32"/>
        </w:rPr>
      </w:pPr>
      <w:r>
        <w:rPr>
          <w:rFonts w:ascii="楷体" w:hAnsi="楷体" w:eastAsia="楷体" w:cs="方正仿宋_GBK"/>
          <w:sz w:val="32"/>
          <w:szCs w:val="32"/>
        </w:rPr>
        <w:t>国内疫情变化随时调整，可关注“健康天津”公众号或“津云”客户端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C6CE8"/>
    <w:rsid w:val="014C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2022-03-11T05:39:00Z</dcterms:created>
  <dc:creator>张小咪(^O^)／</dc:creator>
  <cp:lastModifiedBy>张小咪(^O^)／</cp:lastModifiedBy>
  <dcterms:modified xsi:type="dcterms:W3CDTF">2022-03-11T05:40:06Z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D9473310172D424AB2B8E95B03AED9FE</vt:lpwstr>
  </property>
</Properties>
</file>